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08329" w14:textId="77777777" w:rsidR="006952AF" w:rsidRDefault="006952AF" w:rsidP="00040CA3">
      <w:pPr>
        <w:jc w:val="center"/>
        <w:rPr>
          <w:rFonts w:ascii="Garamond" w:hAnsi="Garamond"/>
          <w:b/>
          <w:bCs/>
          <w:sz w:val="28"/>
          <w:szCs w:val="28"/>
        </w:rPr>
      </w:pPr>
    </w:p>
    <w:p w14:paraId="583D7770" w14:textId="77777777" w:rsidR="009C02B6" w:rsidRDefault="009C02B6" w:rsidP="009C02B6">
      <w:pPr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DIREZIONE REGIONALE MUSEI UMBRIA </w:t>
      </w:r>
    </w:p>
    <w:p w14:paraId="779AD0F3" w14:textId="77777777" w:rsidR="009C02B6" w:rsidRDefault="009C02B6" w:rsidP="009C02B6">
      <w:pPr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IPOGEO DEI VOLUMNI e NECROPOLI DEL PALAZZONE </w:t>
      </w:r>
    </w:p>
    <w:p w14:paraId="3476633E" w14:textId="77777777" w:rsidR="009C02B6" w:rsidRDefault="009C02B6" w:rsidP="009C02B6">
      <w:pPr>
        <w:jc w:val="center"/>
        <w:rPr>
          <w:rFonts w:ascii="Garamond" w:hAnsi="Garamond"/>
          <w:b/>
          <w:bCs/>
          <w:sz w:val="28"/>
          <w:szCs w:val="28"/>
        </w:rPr>
      </w:pPr>
    </w:p>
    <w:p w14:paraId="67439511" w14:textId="350C4F63" w:rsidR="00CF000B" w:rsidRPr="00CF000B" w:rsidRDefault="00CF000B" w:rsidP="00CF000B">
      <w:pPr>
        <w:jc w:val="center"/>
        <w:rPr>
          <w:rFonts w:ascii="Garamond" w:hAnsi="Garamond"/>
          <w:b/>
          <w:bCs/>
          <w:i/>
          <w:iCs/>
        </w:rPr>
      </w:pPr>
      <w:r w:rsidRPr="00CF000B">
        <w:rPr>
          <w:rFonts w:ascii="Garamond" w:hAnsi="Garamond"/>
          <w:b/>
          <w:bCs/>
          <w:i/>
          <w:iCs/>
        </w:rPr>
        <w:t>4 FEBBRAIO 1840 – 4 FEBBRAIO 2024: BUON COMPLEANNO IPOGEO!</w:t>
      </w:r>
    </w:p>
    <w:p w14:paraId="78C28D79" w14:textId="77777777" w:rsidR="00CF000B" w:rsidRPr="00D8132B" w:rsidRDefault="00CF000B" w:rsidP="00CF000B">
      <w:pPr>
        <w:jc w:val="center"/>
        <w:rPr>
          <w:rFonts w:ascii="Garamond" w:hAnsi="Garamond"/>
          <w:b/>
          <w:bCs/>
        </w:rPr>
      </w:pPr>
    </w:p>
    <w:p w14:paraId="26BA9F4B" w14:textId="77777777" w:rsidR="00CF000B" w:rsidRPr="00D8132B" w:rsidRDefault="00CF000B" w:rsidP="00CF000B">
      <w:pPr>
        <w:jc w:val="both"/>
        <w:rPr>
          <w:rFonts w:ascii="Garamond" w:hAnsi="Garamond"/>
        </w:rPr>
      </w:pPr>
      <w:r w:rsidRPr="00D8132B">
        <w:rPr>
          <w:rFonts w:ascii="Garamond" w:hAnsi="Garamond"/>
        </w:rPr>
        <w:t xml:space="preserve">Chi erano i sette componenti della famiglia </w:t>
      </w:r>
      <w:proofErr w:type="spellStart"/>
      <w:r w:rsidRPr="00D8132B">
        <w:rPr>
          <w:rFonts w:ascii="Garamond" w:hAnsi="Garamond"/>
        </w:rPr>
        <w:t>Velimna</w:t>
      </w:r>
      <w:proofErr w:type="spellEnd"/>
      <w:r w:rsidRPr="00D8132B">
        <w:rPr>
          <w:rFonts w:ascii="Garamond" w:hAnsi="Garamond"/>
        </w:rPr>
        <w:t xml:space="preserve"> che riposano da oltre 2000 anni all’interno dell’Ipogeo dei Volumni? E quali segreti ancora custodiscono?</w:t>
      </w:r>
    </w:p>
    <w:p w14:paraId="607DCC39" w14:textId="77777777" w:rsidR="00CF000B" w:rsidRPr="00D8132B" w:rsidRDefault="00CF000B" w:rsidP="00CF000B">
      <w:pPr>
        <w:jc w:val="both"/>
        <w:rPr>
          <w:rFonts w:ascii="Garamond" w:hAnsi="Garamond"/>
        </w:rPr>
      </w:pPr>
    </w:p>
    <w:p w14:paraId="55108797" w14:textId="77777777" w:rsidR="00CF000B" w:rsidRPr="00D8132B" w:rsidRDefault="00CF000B" w:rsidP="00CF000B">
      <w:pPr>
        <w:jc w:val="both"/>
        <w:rPr>
          <w:rFonts w:ascii="Garamond" w:hAnsi="Garamond"/>
        </w:rPr>
      </w:pPr>
      <w:r w:rsidRPr="00D8132B">
        <w:rPr>
          <w:rFonts w:ascii="Garamond" w:hAnsi="Garamond"/>
        </w:rPr>
        <w:t>Iniziamo un anno intenso di lavori che cambieranno il volto dell’area archeologica nota come Ipogeo dei Volumni e Necropoli del Palazzone, grazie a un finanziamento che vede coinvolti il Ministero della Cultura-Direzione Regionale Musei Umbria e il Comune di Perugia, celebrando la ricorrenza della scoperta dell’Ipogeo (4 febbraio 1840) con una iniziativa davvero speciale.</w:t>
      </w:r>
    </w:p>
    <w:p w14:paraId="762E805F" w14:textId="77777777" w:rsidR="00CF000B" w:rsidRPr="00D8132B" w:rsidRDefault="00CF000B" w:rsidP="00CF000B">
      <w:pPr>
        <w:jc w:val="both"/>
        <w:rPr>
          <w:rFonts w:ascii="Garamond" w:hAnsi="Garamond"/>
          <w:sz w:val="16"/>
          <w:szCs w:val="16"/>
        </w:rPr>
      </w:pPr>
    </w:p>
    <w:p w14:paraId="70FFB884" w14:textId="77777777" w:rsidR="00CF000B" w:rsidRPr="00D8132B" w:rsidRDefault="00CF000B" w:rsidP="00CF000B">
      <w:pPr>
        <w:jc w:val="both"/>
        <w:rPr>
          <w:rFonts w:ascii="Garamond" w:hAnsi="Garamond"/>
        </w:rPr>
      </w:pPr>
      <w:r w:rsidRPr="00D8132B">
        <w:rPr>
          <w:rFonts w:ascii="Garamond" w:hAnsi="Garamond"/>
        </w:rPr>
        <w:t xml:space="preserve">I lavori appena iniziati, condotti dalla ditta </w:t>
      </w:r>
      <w:proofErr w:type="spellStart"/>
      <w:r w:rsidRPr="00D8132B">
        <w:rPr>
          <w:rFonts w:ascii="Garamond" w:hAnsi="Garamond"/>
        </w:rPr>
        <w:t>CooBeC</w:t>
      </w:r>
      <w:proofErr w:type="spellEnd"/>
      <w:r w:rsidRPr="00D8132B">
        <w:rPr>
          <w:rFonts w:ascii="Garamond" w:hAnsi="Garamond"/>
        </w:rPr>
        <w:t xml:space="preserve">, interessano tre urne della famiglia </w:t>
      </w:r>
      <w:proofErr w:type="spellStart"/>
      <w:r w:rsidRPr="00D8132B">
        <w:rPr>
          <w:rFonts w:ascii="Garamond" w:hAnsi="Garamond"/>
        </w:rPr>
        <w:t>Velimna</w:t>
      </w:r>
      <w:proofErr w:type="spellEnd"/>
      <w:r w:rsidRPr="00D8132B">
        <w:rPr>
          <w:rFonts w:ascii="Garamond" w:hAnsi="Garamond"/>
        </w:rPr>
        <w:t xml:space="preserve">, la più importante tra le sette rinvenute, quella del fondatore/costruttore dell’Ipogeo, </w:t>
      </w:r>
      <w:proofErr w:type="spellStart"/>
      <w:r w:rsidRPr="00D8132B">
        <w:rPr>
          <w:rFonts w:ascii="Garamond" w:hAnsi="Garamond"/>
        </w:rPr>
        <w:t>Arnth</w:t>
      </w:r>
      <w:proofErr w:type="spellEnd"/>
      <w:r w:rsidRPr="00D8132B">
        <w:rPr>
          <w:rFonts w:ascii="Garamond" w:hAnsi="Garamond"/>
        </w:rPr>
        <w:t xml:space="preserve"> </w:t>
      </w:r>
      <w:proofErr w:type="spellStart"/>
      <w:r w:rsidRPr="00D8132B">
        <w:rPr>
          <w:rFonts w:ascii="Garamond" w:hAnsi="Garamond"/>
        </w:rPr>
        <w:t>Velimnas</w:t>
      </w:r>
      <w:proofErr w:type="spellEnd"/>
      <w:r w:rsidRPr="00D8132B">
        <w:rPr>
          <w:rFonts w:ascii="Garamond" w:hAnsi="Garamond"/>
        </w:rPr>
        <w:t xml:space="preserve"> figlio di Aule, quella della figlia </w:t>
      </w:r>
      <w:proofErr w:type="spellStart"/>
      <w:r w:rsidRPr="00D8132B">
        <w:rPr>
          <w:rFonts w:ascii="Garamond" w:hAnsi="Garamond"/>
        </w:rPr>
        <w:t>Veilia</w:t>
      </w:r>
      <w:proofErr w:type="spellEnd"/>
      <w:r w:rsidRPr="00D8132B">
        <w:rPr>
          <w:rFonts w:ascii="Garamond" w:hAnsi="Garamond"/>
        </w:rPr>
        <w:t xml:space="preserve"> e quella di un lontano discendente, </w:t>
      </w:r>
      <w:proofErr w:type="spellStart"/>
      <w:r w:rsidRPr="00D8132B">
        <w:rPr>
          <w:rFonts w:ascii="Garamond" w:hAnsi="Garamond"/>
        </w:rPr>
        <w:t>Publius</w:t>
      </w:r>
      <w:proofErr w:type="spellEnd"/>
      <w:r w:rsidRPr="00D8132B">
        <w:rPr>
          <w:rFonts w:ascii="Garamond" w:hAnsi="Garamond"/>
        </w:rPr>
        <w:t xml:space="preserve"> </w:t>
      </w:r>
      <w:proofErr w:type="spellStart"/>
      <w:r w:rsidRPr="00D8132B">
        <w:rPr>
          <w:rFonts w:ascii="Garamond" w:hAnsi="Garamond"/>
        </w:rPr>
        <w:t>Volumnius</w:t>
      </w:r>
      <w:proofErr w:type="spellEnd"/>
      <w:r w:rsidRPr="00D8132B">
        <w:rPr>
          <w:rFonts w:ascii="Garamond" w:hAnsi="Garamond"/>
        </w:rPr>
        <w:t xml:space="preserve"> </w:t>
      </w:r>
      <w:proofErr w:type="spellStart"/>
      <w:r w:rsidRPr="00D8132B">
        <w:rPr>
          <w:rFonts w:ascii="Garamond" w:hAnsi="Garamond"/>
        </w:rPr>
        <w:t>Violens</w:t>
      </w:r>
      <w:proofErr w:type="spellEnd"/>
      <w:r w:rsidRPr="00D8132B">
        <w:rPr>
          <w:rFonts w:ascii="Garamond" w:hAnsi="Garamond"/>
        </w:rPr>
        <w:t>, l’ultimo ad essere sepolto nella monumentale struttura dopo duecento anni dalle deposizioni più antiche, quando, con la conquista romana del territorio, il nome della gente muta in Volumni.</w:t>
      </w:r>
    </w:p>
    <w:p w14:paraId="1D569179" w14:textId="77777777" w:rsidR="00CF000B" w:rsidRPr="00D8132B" w:rsidRDefault="00CF000B" w:rsidP="00CF000B">
      <w:pPr>
        <w:jc w:val="both"/>
        <w:rPr>
          <w:rFonts w:ascii="Garamond" w:hAnsi="Garamond"/>
        </w:rPr>
      </w:pPr>
    </w:p>
    <w:p w14:paraId="1D1789A1" w14:textId="77777777" w:rsidR="00CF000B" w:rsidRPr="00D8132B" w:rsidRDefault="00CF000B" w:rsidP="00CF000B">
      <w:pPr>
        <w:jc w:val="both"/>
        <w:rPr>
          <w:rFonts w:ascii="Garamond" w:hAnsi="Garamond"/>
        </w:rPr>
      </w:pPr>
      <w:r w:rsidRPr="00D8132B">
        <w:rPr>
          <w:rFonts w:ascii="Garamond" w:hAnsi="Garamond"/>
        </w:rPr>
        <w:t xml:space="preserve">I tre fratelli, il nonno e il padre, la figlia di </w:t>
      </w:r>
      <w:proofErr w:type="spellStart"/>
      <w:r w:rsidRPr="00D8132B">
        <w:rPr>
          <w:rFonts w:ascii="Garamond" w:hAnsi="Garamond"/>
        </w:rPr>
        <w:t>Arnth</w:t>
      </w:r>
      <w:proofErr w:type="spellEnd"/>
      <w:r w:rsidRPr="00D8132B">
        <w:rPr>
          <w:rFonts w:ascii="Garamond" w:hAnsi="Garamond"/>
        </w:rPr>
        <w:t xml:space="preserve"> sono immortalati per l’eternità, riuniti a banchetto, scolpiti sui coperchi delle urne in travertino, decorate sulla cassa con figure in forte aggetto (teste di Medusa, demoni femminili alati con torcia), lavorate in parti separate, stuccate e dipinte e riassemblate con collanti, incastri o perni metallici. L’urna più tarda è in marmo.</w:t>
      </w:r>
    </w:p>
    <w:p w14:paraId="2B07A195" w14:textId="77777777" w:rsidR="00CF000B" w:rsidRPr="00D8132B" w:rsidRDefault="00CF000B" w:rsidP="00CF000B">
      <w:pPr>
        <w:jc w:val="both"/>
        <w:rPr>
          <w:rFonts w:ascii="Garamond" w:hAnsi="Garamond"/>
          <w:sz w:val="16"/>
          <w:szCs w:val="16"/>
        </w:rPr>
      </w:pPr>
    </w:p>
    <w:p w14:paraId="5ECE9E87" w14:textId="77777777" w:rsidR="00CF000B" w:rsidRPr="00D8132B" w:rsidRDefault="00CF000B" w:rsidP="00CF000B">
      <w:pPr>
        <w:jc w:val="both"/>
        <w:rPr>
          <w:rFonts w:ascii="Garamond" w:hAnsi="Garamond"/>
        </w:rPr>
      </w:pPr>
      <w:r w:rsidRPr="00D8132B">
        <w:rPr>
          <w:rFonts w:ascii="Garamond" w:hAnsi="Garamond"/>
        </w:rPr>
        <w:t>Furono aperte nella notte, poche ore dopo la scoperta: a lume di candela, sollevati i pesanti coperchi, si intravide l’ammasso delle ceneri e delle ossa che contenevano; poi di nuovo richiuse, come leggiamo nelle scarne relazioni di scavo conservate presso l’Archivio di Stato di Perugia.</w:t>
      </w:r>
    </w:p>
    <w:p w14:paraId="37A4933C" w14:textId="77777777" w:rsidR="00CF000B" w:rsidRPr="00D8132B" w:rsidRDefault="00CF000B" w:rsidP="00CF000B">
      <w:pPr>
        <w:jc w:val="both"/>
        <w:rPr>
          <w:rFonts w:ascii="Garamond" w:hAnsi="Garamond"/>
        </w:rPr>
      </w:pPr>
    </w:p>
    <w:p w14:paraId="3FB137BE" w14:textId="77777777" w:rsidR="00CF000B" w:rsidRPr="00D8132B" w:rsidRDefault="00CF000B" w:rsidP="00CF000B">
      <w:pPr>
        <w:jc w:val="both"/>
        <w:rPr>
          <w:rFonts w:ascii="Garamond" w:hAnsi="Garamond"/>
        </w:rPr>
      </w:pPr>
      <w:r w:rsidRPr="00D8132B">
        <w:rPr>
          <w:rFonts w:ascii="Garamond" w:hAnsi="Garamond"/>
        </w:rPr>
        <w:t xml:space="preserve">I lavori in corso, illustrati ai visitatori già domenica 4 febbraio, hanno lo scopo di indagare con le più moderne tecnologie (spettrometria, fotogrammetria, colorimetria multispettrale, termografia, antropometria), le urne e il loro contenuto, là dove ancora conservato. </w:t>
      </w:r>
    </w:p>
    <w:p w14:paraId="0CB450CA" w14:textId="77777777" w:rsidR="00CF000B" w:rsidRPr="00D8132B" w:rsidRDefault="00CF000B" w:rsidP="00CF000B">
      <w:pPr>
        <w:jc w:val="both"/>
        <w:rPr>
          <w:rFonts w:ascii="Garamond" w:hAnsi="Garamond"/>
        </w:rPr>
      </w:pPr>
      <w:r w:rsidRPr="00D8132B">
        <w:rPr>
          <w:rFonts w:ascii="Garamond" w:hAnsi="Garamond"/>
        </w:rPr>
        <w:t>Sarà possibile restituire l’aspetto originale ai cinerari rimuovendo sporco e incrostazioni superficiali; documentare le tecniche di realizzazione, l’esistenza di decorazioni dipinte non più visibili, la presenza di vecchi restauri; realizzare riproduzioni 3D anche tattili; studiare i resti ossei così da conoscere l’età di morte, eventuali patologie, e confermare la parentela desumibile dalle iscrizioni</w:t>
      </w:r>
      <w:r>
        <w:rPr>
          <w:rFonts w:ascii="Garamond" w:hAnsi="Garamond"/>
        </w:rPr>
        <w:t>.</w:t>
      </w:r>
    </w:p>
    <w:p w14:paraId="7C8C03E9" w14:textId="77777777" w:rsidR="00CF000B" w:rsidRPr="00D8132B" w:rsidRDefault="00CF000B" w:rsidP="00CF000B">
      <w:pPr>
        <w:jc w:val="both"/>
        <w:rPr>
          <w:rFonts w:ascii="Garamond" w:hAnsi="Garamond"/>
        </w:rPr>
      </w:pPr>
      <w:r w:rsidRPr="00D8132B">
        <w:rPr>
          <w:rFonts w:ascii="Garamond" w:hAnsi="Garamond"/>
        </w:rPr>
        <w:t xml:space="preserve">Un compleanno davvero speciale per aggiungere tasselli importanti alla ricostruzione storica e iniziare nel migliore dei modi un grande Progetto che porterà presto all’inaugurazione del nuovo Parco Archeologico dei </w:t>
      </w:r>
      <w:proofErr w:type="spellStart"/>
      <w:r w:rsidRPr="00D8132B">
        <w:rPr>
          <w:rFonts w:ascii="Garamond" w:hAnsi="Garamond"/>
        </w:rPr>
        <w:t>Velimna</w:t>
      </w:r>
      <w:proofErr w:type="spellEnd"/>
      <w:r w:rsidRPr="00D8132B">
        <w:rPr>
          <w:rFonts w:ascii="Garamond" w:hAnsi="Garamond"/>
        </w:rPr>
        <w:t>.</w:t>
      </w:r>
    </w:p>
    <w:p w14:paraId="227EFA22" w14:textId="77777777" w:rsidR="00CF000B" w:rsidRDefault="00CF000B" w:rsidP="00CF000B">
      <w:pPr>
        <w:jc w:val="both"/>
        <w:rPr>
          <w:rFonts w:ascii="Garamond" w:hAnsi="Garamond"/>
        </w:rPr>
      </w:pPr>
    </w:p>
    <w:p w14:paraId="7C4EA0D2" w14:textId="77777777" w:rsidR="00CF000B" w:rsidRDefault="00CF000B" w:rsidP="00CF000B">
      <w:pPr>
        <w:jc w:val="right"/>
        <w:rPr>
          <w:rFonts w:ascii="Garamond" w:hAnsi="Garamond"/>
        </w:rPr>
      </w:pPr>
      <w:r>
        <w:rPr>
          <w:rFonts w:ascii="Garamond" w:hAnsi="Garamond"/>
        </w:rPr>
        <w:t xml:space="preserve">Maria Angela Turchetti, </w:t>
      </w:r>
    </w:p>
    <w:p w14:paraId="6F7C9A83" w14:textId="77777777" w:rsidR="00CF000B" w:rsidRPr="00D8132B" w:rsidRDefault="00CF000B" w:rsidP="00CF000B">
      <w:pPr>
        <w:jc w:val="right"/>
        <w:rPr>
          <w:rFonts w:ascii="Garamond" w:hAnsi="Garamond"/>
        </w:rPr>
      </w:pPr>
      <w:r>
        <w:rPr>
          <w:rFonts w:ascii="Garamond" w:hAnsi="Garamond"/>
        </w:rPr>
        <w:t>responsabile dell’Ipogeo dei Volumni e Necropoli del Palazzone</w:t>
      </w:r>
    </w:p>
    <w:p w14:paraId="35D82D6A" w14:textId="77777777" w:rsidR="00040CA3" w:rsidRPr="006952AF" w:rsidRDefault="00040CA3">
      <w:pPr>
        <w:rPr>
          <w:rFonts w:ascii="Garamond" w:hAnsi="Garamond"/>
        </w:rPr>
      </w:pPr>
    </w:p>
    <w:p w14:paraId="5A198773" w14:textId="206E3DB1" w:rsidR="00BE4C0C" w:rsidRDefault="00BE4C0C" w:rsidP="00BE4C0C">
      <w:pPr>
        <w:jc w:val="both"/>
        <w:rPr>
          <w:rFonts w:ascii="Garamond" w:hAnsi="Garamond"/>
        </w:rPr>
      </w:pPr>
    </w:p>
    <w:p w14:paraId="40416CE4" w14:textId="5B9D758A" w:rsidR="00BE4C0C" w:rsidRDefault="00BE4C0C" w:rsidP="00BE4C0C">
      <w:pPr>
        <w:jc w:val="both"/>
        <w:rPr>
          <w:rFonts w:ascii="Garamond" w:hAnsi="Garamond"/>
        </w:rPr>
      </w:pPr>
    </w:p>
    <w:p w14:paraId="4912C6FA" w14:textId="77777777" w:rsidR="00C0496F" w:rsidRPr="00E85514" w:rsidRDefault="00C0496F" w:rsidP="00E85514">
      <w:pPr>
        <w:rPr>
          <w:rFonts w:ascii="Garamond" w:hAnsi="Garamond" w:cs="Adobe Garamond Pro"/>
          <w:color w:val="000000"/>
          <w:sz w:val="22"/>
          <w:szCs w:val="21"/>
          <w:u w:val="single"/>
        </w:rPr>
      </w:pPr>
    </w:p>
    <w:sectPr w:rsidR="00C0496F" w:rsidRPr="00E85514" w:rsidSect="00C241EF">
      <w:headerReference w:type="first" r:id="rId11"/>
      <w:pgSz w:w="11900" w:h="16840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D9E32" w14:textId="77777777" w:rsidR="00C241EF" w:rsidRDefault="00C241EF" w:rsidP="006952AF">
      <w:r>
        <w:separator/>
      </w:r>
    </w:p>
  </w:endnote>
  <w:endnote w:type="continuationSeparator" w:id="0">
    <w:p w14:paraId="2782F6BD" w14:textId="77777777" w:rsidR="00C241EF" w:rsidRDefault="00C241EF" w:rsidP="00695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dobe Garamond Pro">
    <w:altName w:val="Garamond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95C5C" w14:textId="77777777" w:rsidR="00C241EF" w:rsidRDefault="00C241EF" w:rsidP="006952AF">
      <w:r>
        <w:separator/>
      </w:r>
    </w:p>
  </w:footnote>
  <w:footnote w:type="continuationSeparator" w:id="0">
    <w:p w14:paraId="5314E321" w14:textId="77777777" w:rsidR="00C241EF" w:rsidRDefault="00C241EF" w:rsidP="00695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5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63"/>
      <w:gridCol w:w="5263"/>
    </w:tblGrid>
    <w:tr w:rsidR="006952AF" w14:paraId="6FDB0349" w14:textId="77777777" w:rsidTr="004E092E">
      <w:trPr>
        <w:trHeight w:val="979"/>
      </w:trPr>
      <w:tc>
        <w:tcPr>
          <w:tcW w:w="5263" w:type="dxa"/>
        </w:tcPr>
        <w:p w14:paraId="3CC23479" w14:textId="62EE46C7" w:rsidR="006952AF" w:rsidRDefault="00C752B5" w:rsidP="004E092E">
          <w:pPr>
            <w:pStyle w:val="Intestazione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8240" behindDoc="1" locked="0" layoutInCell="1" allowOverlap="1" wp14:anchorId="3E34D6A7" wp14:editId="0476C21B">
                <wp:simplePos x="0" y="0"/>
                <wp:positionH relativeFrom="column">
                  <wp:posOffset>2225675</wp:posOffset>
                </wp:positionH>
                <wp:positionV relativeFrom="paragraph">
                  <wp:posOffset>36195</wp:posOffset>
                </wp:positionV>
                <wp:extent cx="1038225" cy="512445"/>
                <wp:effectExtent l="0" t="0" r="9525" b="1905"/>
                <wp:wrapTight wrapText="bothSides">
                  <wp:wrapPolygon edited="0">
                    <wp:start x="0" y="0"/>
                    <wp:lineTo x="0" y="20877"/>
                    <wp:lineTo x="21402" y="20877"/>
                    <wp:lineTo x="21402" y="0"/>
                    <wp:lineTo x="0" y="0"/>
                  </wp:wrapPolygon>
                </wp:wrapTight>
                <wp:docPr id="93995993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39959931" name="Immagine 93995993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8225" cy="5124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9C02B6">
            <w:rPr>
              <w:noProof/>
              <w:lang w:eastAsia="it-IT"/>
            </w:rPr>
            <w:drawing>
              <wp:anchor distT="0" distB="0" distL="114300" distR="114300" simplePos="0" relativeHeight="251659264" behindDoc="1" locked="0" layoutInCell="1" allowOverlap="1" wp14:anchorId="64CD2A2C" wp14:editId="11B6F2C1">
                <wp:simplePos x="0" y="0"/>
                <wp:positionH relativeFrom="column">
                  <wp:posOffset>-64770</wp:posOffset>
                </wp:positionH>
                <wp:positionV relativeFrom="paragraph">
                  <wp:posOffset>26670</wp:posOffset>
                </wp:positionV>
                <wp:extent cx="1590675" cy="516255"/>
                <wp:effectExtent l="0" t="0" r="9525" b="0"/>
                <wp:wrapSquare wrapText="bothSides"/>
                <wp:docPr id="1" name="Immagine 1" descr="Immagine che contiene testo, Carattere, Elementi grafici, grafica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Immagine che contiene testo, Carattere, Elementi grafici, grafica&#10;&#10;Descrizione generata automaticamente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0675" cy="5162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                      </w:t>
          </w:r>
        </w:p>
      </w:tc>
      <w:tc>
        <w:tcPr>
          <w:tcW w:w="5263" w:type="dxa"/>
        </w:tcPr>
        <w:p w14:paraId="0163E1D3" w14:textId="74F1B3B3" w:rsidR="006952AF" w:rsidRDefault="004E092E" w:rsidP="004E092E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37DCDBF4" wp14:editId="5713FF51">
                <wp:extent cx="902295" cy="647119"/>
                <wp:effectExtent l="0" t="0" r="0" b="0"/>
                <wp:docPr id="40219986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2199862" name="Immagine 402199862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2295" cy="6471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6FE1E0C" w14:textId="77777777" w:rsidR="006952AF" w:rsidRDefault="006952A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AE70AD"/>
    <w:multiLevelType w:val="hybridMultilevel"/>
    <w:tmpl w:val="A69E7D66"/>
    <w:lvl w:ilvl="0" w:tplc="351839EC">
      <w:start w:val="15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0936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266"/>
    <w:rsid w:val="00040CA3"/>
    <w:rsid w:val="000A3D9D"/>
    <w:rsid w:val="00133776"/>
    <w:rsid w:val="00146B2A"/>
    <w:rsid w:val="00150EC3"/>
    <w:rsid w:val="0016621F"/>
    <w:rsid w:val="001736CE"/>
    <w:rsid w:val="001A4749"/>
    <w:rsid w:val="001E201D"/>
    <w:rsid w:val="002934AF"/>
    <w:rsid w:val="002A0A15"/>
    <w:rsid w:val="002C3D45"/>
    <w:rsid w:val="00304D34"/>
    <w:rsid w:val="003754F4"/>
    <w:rsid w:val="003A0BD4"/>
    <w:rsid w:val="003A3AB6"/>
    <w:rsid w:val="003B33DA"/>
    <w:rsid w:val="003D5697"/>
    <w:rsid w:val="003F415D"/>
    <w:rsid w:val="004024F1"/>
    <w:rsid w:val="0041755A"/>
    <w:rsid w:val="00491861"/>
    <w:rsid w:val="004E092E"/>
    <w:rsid w:val="00507BE9"/>
    <w:rsid w:val="00557B07"/>
    <w:rsid w:val="00560E31"/>
    <w:rsid w:val="00562C53"/>
    <w:rsid w:val="005E6266"/>
    <w:rsid w:val="00617C78"/>
    <w:rsid w:val="00625B52"/>
    <w:rsid w:val="006333B2"/>
    <w:rsid w:val="00662890"/>
    <w:rsid w:val="006952AF"/>
    <w:rsid w:val="006B384B"/>
    <w:rsid w:val="006E253B"/>
    <w:rsid w:val="00761757"/>
    <w:rsid w:val="00794388"/>
    <w:rsid w:val="0080471F"/>
    <w:rsid w:val="0080531F"/>
    <w:rsid w:val="00820E9B"/>
    <w:rsid w:val="0082445A"/>
    <w:rsid w:val="008A36F0"/>
    <w:rsid w:val="008B2877"/>
    <w:rsid w:val="008B667A"/>
    <w:rsid w:val="008F2F79"/>
    <w:rsid w:val="0094280C"/>
    <w:rsid w:val="009C02B6"/>
    <w:rsid w:val="009C2F87"/>
    <w:rsid w:val="00A10BE2"/>
    <w:rsid w:val="00A3023A"/>
    <w:rsid w:val="00A840DA"/>
    <w:rsid w:val="00B0463E"/>
    <w:rsid w:val="00B621B8"/>
    <w:rsid w:val="00B86069"/>
    <w:rsid w:val="00B946BF"/>
    <w:rsid w:val="00BC0CD1"/>
    <w:rsid w:val="00BE4C0C"/>
    <w:rsid w:val="00C0496F"/>
    <w:rsid w:val="00C12306"/>
    <w:rsid w:val="00C172FC"/>
    <w:rsid w:val="00C241EF"/>
    <w:rsid w:val="00C5255C"/>
    <w:rsid w:val="00C752B5"/>
    <w:rsid w:val="00CC4860"/>
    <w:rsid w:val="00CF000B"/>
    <w:rsid w:val="00D13FF2"/>
    <w:rsid w:val="00D2208E"/>
    <w:rsid w:val="00D448F1"/>
    <w:rsid w:val="00D64D28"/>
    <w:rsid w:val="00D83EC8"/>
    <w:rsid w:val="00DB7268"/>
    <w:rsid w:val="00DD2B4A"/>
    <w:rsid w:val="00E85514"/>
    <w:rsid w:val="00E947E8"/>
    <w:rsid w:val="00EA0EBD"/>
    <w:rsid w:val="00EB1498"/>
    <w:rsid w:val="00EC37E9"/>
    <w:rsid w:val="00EE3D26"/>
    <w:rsid w:val="00EF50EF"/>
    <w:rsid w:val="00FD226F"/>
    <w:rsid w:val="00FD677C"/>
    <w:rsid w:val="00FE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8F2EE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62C53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952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52AF"/>
  </w:style>
  <w:style w:type="paragraph" w:styleId="Pidipagina">
    <w:name w:val="footer"/>
    <w:basedOn w:val="Normale"/>
    <w:link w:val="PidipaginaCarattere"/>
    <w:uiPriority w:val="99"/>
    <w:unhideWhenUsed/>
    <w:rsid w:val="006952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52AF"/>
  </w:style>
  <w:style w:type="table" w:styleId="Grigliatabella">
    <w:name w:val="Table Grid"/>
    <w:basedOn w:val="Tabellanormale"/>
    <w:uiPriority w:val="39"/>
    <w:rsid w:val="00695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rsid w:val="00BE4C0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8A36F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A36F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A36F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A36F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A36F0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8A36F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5697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5697"/>
    <w:rPr>
      <w:rFonts w:ascii="Times New Roman" w:hAnsi="Times New Roman" w:cs="Times New Roman"/>
      <w:sz w:val="18"/>
      <w:szCs w:val="18"/>
    </w:rPr>
  </w:style>
  <w:style w:type="character" w:customStyle="1" w:styleId="Menzionenonrisolta2">
    <w:name w:val="Menzione non risolta2"/>
    <w:basedOn w:val="Carpredefinitoparagrafo"/>
    <w:uiPriority w:val="99"/>
    <w:rsid w:val="00C049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E2951FC9A8954D98E2686339B094D3" ma:contentTypeVersion="17" ma:contentTypeDescription="Creare un nuovo documento." ma:contentTypeScope="" ma:versionID="afaafb9a0146e3717654b88583209c92">
  <xsd:schema xmlns:xsd="http://www.w3.org/2001/XMLSchema" xmlns:xs="http://www.w3.org/2001/XMLSchema" xmlns:p="http://schemas.microsoft.com/office/2006/metadata/properties" xmlns:ns2="e51cac17-9d3b-42cf-aa66-1c7ce94de299" xmlns:ns3="e6ae1104-2084-46c2-94e8-fb18143a54c8" targetNamespace="http://schemas.microsoft.com/office/2006/metadata/properties" ma:root="true" ma:fieldsID="a27f49e03307e7948f82c8706441d6fd" ns2:_="" ns3:_="">
    <xsd:import namespace="e51cac17-9d3b-42cf-aa66-1c7ce94de299"/>
    <xsd:import namespace="e6ae1104-2084-46c2-94e8-fb18143a54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cac17-9d3b-42cf-aa66-1c7ce94de2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32750ef2-dc1e-42bb-9b8b-20a1a6cd70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e1104-2084-46c2-94e8-fb18143a54c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90734e1-f8e3-4e3c-8931-9fe2cbf06ccc}" ma:internalName="TaxCatchAll" ma:showField="CatchAllData" ma:web="e6ae1104-2084-46c2-94e8-fb18143a54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ae1104-2084-46c2-94e8-fb18143a54c8" xsi:nil="true"/>
    <lcf76f155ced4ddcb4097134ff3c332f xmlns="e51cac17-9d3b-42cf-aa66-1c7ce94de29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A86772E-1D9F-4B87-819A-BB5F691AE4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cac17-9d3b-42cf-aa66-1c7ce94de299"/>
    <ds:schemaRef ds:uri="e6ae1104-2084-46c2-94e8-fb18143a54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4A2AD6-743B-46FB-A04B-9B45BA2B00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C5DCE3-EFAB-4527-8778-5601B59E091D}">
  <ds:schemaRefs>
    <ds:schemaRef ds:uri="http://schemas.microsoft.com/office/2006/metadata/properties"/>
    <ds:schemaRef ds:uri="http://schemas.microsoft.com/office/infopath/2007/PartnerControls"/>
    <ds:schemaRef ds:uri="e6ae1104-2084-46c2-94e8-fb18143a54c8"/>
    <ds:schemaRef ds:uri="e51cac17-9d3b-42cf-aa66-1c7ce94de299"/>
  </ds:schemaRefs>
</ds:datastoreItem>
</file>

<file path=customXml/itemProps4.xml><?xml version="1.0" encoding="utf-8"?>
<ds:datastoreItem xmlns:ds="http://schemas.openxmlformats.org/officeDocument/2006/customXml" ds:itemID="{2B0F4944-1D84-43DC-8815-9BC0B6FB6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2455</Characters>
  <Application>Microsoft Office Word</Application>
  <DocSecurity>0</DocSecurity>
  <Lines>46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c.dorazio2@gmail.com</dc:creator>
  <cp:keywords/>
  <dc:description/>
  <cp:lastModifiedBy>Microsoft Office User</cp:lastModifiedBy>
  <cp:revision>2</cp:revision>
  <cp:lastPrinted>2024-01-22T15:48:00Z</cp:lastPrinted>
  <dcterms:created xsi:type="dcterms:W3CDTF">2024-01-24T16:05:00Z</dcterms:created>
  <dcterms:modified xsi:type="dcterms:W3CDTF">2024-01-24T16:05:00Z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0x010100CEE2951FC9A8954D98E2686339B094D3</vt:lpwstr>
  </property>
</Properties>
</file>